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632D" w:rsidRPr="006A632D" w:rsidRDefault="00F4340A" w:rsidP="006A632D">
      <w:pPr>
        <w:rPr>
          <w:rFonts w:ascii="Arial" w:hAnsi="Arial" w:cs="Arial"/>
          <w:sz w:val="20"/>
          <w:szCs w:val="20"/>
        </w:rPr>
        <w:sectPr w:rsidR="006A632D" w:rsidRPr="006A632D" w:rsidSect="00F4340A">
          <w:headerReference w:type="even" r:id="rId9"/>
          <w:headerReference w:type="default" r:id="rId10"/>
          <w:footerReference w:type="even" r:id="rId11"/>
          <w:footerReference w:type="default" r:id="rId12"/>
          <w:headerReference w:type="first" r:id="rId13"/>
          <w:footerReference w:type="first" r:id="rId14"/>
          <w:pgSz w:w="15840" w:h="12240" w:orient="landscape"/>
          <w:pgMar w:top="288" w:right="720" w:bottom="288" w:left="720" w:header="144" w:footer="720" w:gutter="0"/>
          <w:cols w:sep="1" w:space="720"/>
          <w:docGrid w:linePitch="360"/>
        </w:sectPr>
      </w:pPr>
      <w:r w:rsidRPr="00F4340A">
        <w:rPr>
          <w:rFonts w:ascii="Arial" w:hAnsi="Arial" w:cs="Arial"/>
          <w:b/>
          <w:i/>
          <w:noProof/>
        </w:rPr>
        <mc:AlternateContent>
          <mc:Choice Requires="wps">
            <w:drawing>
              <wp:anchor distT="91440" distB="91440" distL="182880" distR="182880" simplePos="0" relativeHeight="251659264" behindDoc="1" locked="0" layoutInCell="0" allowOverlap="1" wp14:anchorId="24E0559F" wp14:editId="4D418D40">
                <wp:simplePos x="0" y="0"/>
                <wp:positionH relativeFrom="margin">
                  <wp:posOffset>2676525</wp:posOffset>
                </wp:positionH>
                <wp:positionV relativeFrom="margin">
                  <wp:posOffset>-57150</wp:posOffset>
                </wp:positionV>
                <wp:extent cx="2377440" cy="86677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66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sz w:val="28"/>
                                <w:szCs w:val="28"/>
                              </w:rPr>
                            </w:pPr>
                            <w:r w:rsidRPr="00F4340A">
                              <w:rPr>
                                <w:rFonts w:ascii="Arial" w:hAnsi="Arial" w:cs="Arial"/>
                                <w:b/>
                                <w:iCs/>
                                <w:color w:val="6076B4" w:themeColor="accent1"/>
                                <w:sz w:val="28"/>
                                <w:szCs w:val="28"/>
                              </w:rPr>
                              <w:t>America</w:t>
                            </w:r>
                            <w:r>
                              <w:rPr>
                                <w:rFonts w:ascii="Arial" w:hAnsi="Arial" w:cs="Arial"/>
                                <w:b/>
                                <w:iCs/>
                                <w:color w:val="6076B4" w:themeColor="accent1"/>
                                <w:sz w:val="28"/>
                                <w:szCs w:val="28"/>
                              </w:rPr>
                              <w:t>n Subcontractors</w:t>
                            </w:r>
                            <w:r w:rsidRPr="00F4340A">
                              <w:rPr>
                                <w:rFonts w:ascii="Arial" w:hAnsi="Arial" w:cs="Arial"/>
                                <w:b/>
                                <w:iCs/>
                                <w:color w:val="6076B4" w:themeColor="accent1"/>
                                <w:sz w:val="28"/>
                                <w:szCs w:val="28"/>
                              </w:rPr>
                              <w:t xml:space="preserve"> Association, Inc.</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Subcontractor’s Negotiating Tip Sheet</w:t>
                            </w:r>
                          </w:p>
                          <w:p w:rsidR="00F4340A" w:rsidRPr="00F4340A" w:rsidRDefault="00710362">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Pr>
                                <w:rFonts w:ascii="Arial" w:hAnsi="Arial" w:cs="Arial"/>
                                <w:b/>
                                <w:iCs/>
                                <w:color w:val="6076B4" w:themeColor="accent1"/>
                              </w:rPr>
                              <w:t>Retainage for Sub Is More than for GC</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Rectangle 386" o:spid="_x0000_s1026" style="position:absolute;margin-left:210.75pt;margin-top:-4.5pt;width:187.2pt;height:68.25pt;z-index:-251657216;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ap/wIAAEw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" o:allowincell="f" filled="f" stroked="f" strokecolor="#90b5e3" strokeweight="6pt">
                <v:shadow on="t" type="perspective" color="#2f6ebe" opacity=".5" offset="6pt,6pt" matrix="66191f,,,66191f"/>
                <v:textbox inset="0,0,0,0">
                  <w:txbxContent>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sz w:val="28"/>
                          <w:szCs w:val="28"/>
                        </w:rPr>
                      </w:pPr>
                      <w:r w:rsidRPr="00F4340A">
                        <w:rPr>
                          <w:rFonts w:ascii="Arial" w:hAnsi="Arial" w:cs="Arial"/>
                          <w:b/>
                          <w:iCs/>
                          <w:color w:val="6076B4" w:themeColor="accent1"/>
                          <w:sz w:val="28"/>
                          <w:szCs w:val="28"/>
                        </w:rPr>
                        <w:t>America</w:t>
                      </w:r>
                      <w:r>
                        <w:rPr>
                          <w:rFonts w:ascii="Arial" w:hAnsi="Arial" w:cs="Arial"/>
                          <w:b/>
                          <w:iCs/>
                          <w:color w:val="6076B4" w:themeColor="accent1"/>
                          <w:sz w:val="28"/>
                          <w:szCs w:val="28"/>
                        </w:rPr>
                        <w:t>n Subcontractors</w:t>
                      </w:r>
                      <w:r w:rsidRPr="00F4340A">
                        <w:rPr>
                          <w:rFonts w:ascii="Arial" w:hAnsi="Arial" w:cs="Arial"/>
                          <w:b/>
                          <w:iCs/>
                          <w:color w:val="6076B4" w:themeColor="accent1"/>
                          <w:sz w:val="28"/>
                          <w:szCs w:val="28"/>
                        </w:rPr>
                        <w:t xml:space="preserve"> Association, Inc.</w:t>
                      </w:r>
                    </w:p>
                    <w:p w:rsidR="00F4340A" w:rsidRPr="00F4340A" w:rsidRDefault="00F4340A">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r w:rsidRPr="00F4340A">
                        <w:rPr>
                          <w:rFonts w:ascii="Arial" w:hAnsi="Arial" w:cs="Arial"/>
                          <w:b/>
                          <w:iCs/>
                          <w:color w:val="6076B4" w:themeColor="accent1"/>
                        </w:rPr>
                        <w:t>Subcontractor’s Negotiating Tip Sheet</w:t>
                      </w:r>
                    </w:p>
                    <w:p w:rsidR="00F4340A" w:rsidRPr="00F4340A" w:rsidRDefault="00710362">
                      <w:pPr>
                        <w:pBdr>
                          <w:top w:val="single" w:sz="4" w:space="10" w:color="AFBAD9" w:themeColor="accent1" w:themeTint="7F"/>
                          <w:bottom w:val="single" w:sz="4" w:space="10" w:color="AFBAD9" w:themeColor="accent1" w:themeTint="7F"/>
                        </w:pBdr>
                        <w:jc w:val="center"/>
                        <w:rPr>
                          <w:rFonts w:ascii="Arial" w:hAnsi="Arial" w:cs="Arial"/>
                          <w:b/>
                          <w:iCs/>
                          <w:color w:val="6076B4" w:themeColor="accent1"/>
                        </w:rPr>
                      </w:pPr>
                      <w:proofErr w:type="spellStart"/>
                      <w:r>
                        <w:rPr>
                          <w:rFonts w:ascii="Arial" w:hAnsi="Arial" w:cs="Arial"/>
                          <w:b/>
                          <w:iCs/>
                          <w:color w:val="6076B4" w:themeColor="accent1"/>
                        </w:rPr>
                        <w:t>Retainage</w:t>
                      </w:r>
                      <w:proofErr w:type="spellEnd"/>
                      <w:r>
                        <w:rPr>
                          <w:rFonts w:ascii="Arial" w:hAnsi="Arial" w:cs="Arial"/>
                          <w:b/>
                          <w:iCs/>
                          <w:color w:val="6076B4" w:themeColor="accent1"/>
                        </w:rPr>
                        <w:t xml:space="preserve"> for Sub Is More than for GC</w:t>
                      </w:r>
                    </w:p>
                  </w:txbxContent>
                </v:textbox>
                <w10:wrap type="square" anchorx="margin" anchory="margin"/>
              </v:rect>
            </w:pict>
          </mc:Fallback>
        </mc:AlternateContent>
      </w:r>
      <w:r w:rsidR="00337184">
        <w:rPr>
          <w:noProof/>
        </w:rPr>
        <w:drawing>
          <wp:inline distT="0" distB="0" distL="0" distR="0" wp14:anchorId="66D4BDF1" wp14:editId="0A87C3C2">
            <wp:extent cx="100012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ogo-blue-small.jpg"/>
                    <pic:cNvPicPr/>
                  </pic:nvPicPr>
                  <pic:blipFill>
                    <a:blip r:embed="rId15">
                      <a:extLst>
                        <a:ext uri="{28A0092B-C50C-407E-A947-70E740481C1C}">
                          <a14:useLocalDpi xmlns:a14="http://schemas.microsoft.com/office/drawing/2010/main" val="0"/>
                        </a:ext>
                      </a:extLst>
                    </a:blip>
                    <a:stretch>
                      <a:fillRect/>
                    </a:stretch>
                  </pic:blipFill>
                  <pic:spPr>
                    <a:xfrm>
                      <a:off x="0" y="0"/>
                      <a:ext cx="1007198" cy="776981"/>
                    </a:xfrm>
                    <a:prstGeom prst="rect">
                      <a:avLst/>
                    </a:prstGeom>
                  </pic:spPr>
                </pic:pic>
              </a:graphicData>
            </a:graphic>
          </wp:inline>
        </w:drawing>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r w:rsidR="00192762">
        <w:rPr>
          <w:rFonts w:ascii="Arial" w:hAnsi="Arial" w:cs="Arial"/>
          <w:b/>
          <w:i/>
        </w:rPr>
        <w:tab/>
      </w:r>
    </w:p>
    <w:p w:rsidR="006A632D" w:rsidRPr="00F4340A" w:rsidRDefault="006A632D" w:rsidP="006A632D">
      <w:pPr>
        <w:jc w:val="center"/>
        <w:rPr>
          <w:rFonts w:ascii="Arial" w:hAnsi="Arial" w:cs="Arial"/>
          <w:color w:val="2F5897" w:themeColor="text2"/>
          <w:sz w:val="20"/>
          <w:szCs w:val="20"/>
        </w:rPr>
      </w:pPr>
      <w:r w:rsidRPr="00F4340A">
        <w:rPr>
          <w:rFonts w:ascii="Arial" w:hAnsi="Arial" w:cs="Arial"/>
          <w:b/>
          <w:color w:val="2F5897" w:themeColor="text2"/>
          <w:sz w:val="20"/>
          <w:szCs w:val="20"/>
        </w:rPr>
        <w:lastRenderedPageBreak/>
        <w:t>Sample Language</w:t>
      </w:r>
    </w:p>
    <w:p w:rsidR="006A632D" w:rsidRDefault="006A632D" w:rsidP="006A632D">
      <w:pPr>
        <w:rPr>
          <w:rFonts w:ascii="Arial" w:hAnsi="Arial" w:cs="Arial"/>
          <w:sz w:val="20"/>
          <w:szCs w:val="20"/>
        </w:rPr>
      </w:pPr>
    </w:p>
    <w:p w:rsidR="006A632D" w:rsidRPr="00F4340A" w:rsidRDefault="006A632D" w:rsidP="00F4340A">
      <w:pPr>
        <w:rPr>
          <w:rFonts w:ascii="Arial" w:hAnsi="Arial" w:cs="Arial"/>
          <w:i/>
          <w:color w:val="2F5897" w:themeColor="text2"/>
          <w:sz w:val="20"/>
          <w:szCs w:val="20"/>
        </w:rPr>
      </w:pPr>
      <w:r w:rsidRPr="00F4340A">
        <w:rPr>
          <w:rFonts w:ascii="Arial" w:hAnsi="Arial" w:cs="Arial"/>
          <w:b/>
          <w:color w:val="2F5897" w:themeColor="text2"/>
          <w:sz w:val="20"/>
          <w:szCs w:val="20"/>
        </w:rPr>
        <w:t>ASA Recommends:</w:t>
      </w:r>
    </w:p>
    <w:p w:rsidR="00FF5F7E" w:rsidRPr="00FF5F7E" w:rsidRDefault="00FF5F7E" w:rsidP="00FF5F7E">
      <w:pPr>
        <w:widowControl w:val="0"/>
        <w:rPr>
          <w:rFonts w:ascii="Arial" w:hAnsi="Arial" w:cs="Arial"/>
          <w:sz w:val="20"/>
          <w:szCs w:val="20"/>
        </w:rPr>
      </w:pPr>
      <w:r w:rsidRPr="00FF5F7E">
        <w:rPr>
          <w:rFonts w:ascii="Arial" w:hAnsi="Arial" w:cs="Arial"/>
          <w:sz w:val="20"/>
          <w:szCs w:val="20"/>
        </w:rPr>
        <w:t>“Customer shall not deduct retainage from Subcontractor’s payments except to the extent of retainage held by project owner on Subcontractor’s work.”</w:t>
      </w:r>
    </w:p>
    <w:p w:rsidR="006A632D" w:rsidRPr="00FF5F7E" w:rsidRDefault="00FF5F7E" w:rsidP="00FF5F7E">
      <w:pPr>
        <w:widowControl w:val="0"/>
        <w:rPr>
          <w:rFonts w:ascii="Arial" w:hAnsi="Arial" w:cs="Arial"/>
          <w:sz w:val="20"/>
          <w:szCs w:val="20"/>
        </w:rPr>
      </w:pPr>
      <w:r w:rsidRPr="00FF5F7E">
        <w:rPr>
          <w:sz w:val="20"/>
          <w:szCs w:val="20"/>
        </w:rPr>
        <w:t> </w:t>
      </w:r>
    </w:p>
    <w:p w:rsidR="006A632D" w:rsidRPr="00F4340A" w:rsidRDefault="006A632D" w:rsidP="006A632D">
      <w:pPr>
        <w:rPr>
          <w:rFonts w:ascii="Arial" w:hAnsi="Arial" w:cs="Arial"/>
          <w:color w:val="2F5897" w:themeColor="text2"/>
          <w:sz w:val="20"/>
          <w:szCs w:val="20"/>
        </w:rPr>
      </w:pPr>
      <w:r w:rsidRPr="00F4340A">
        <w:rPr>
          <w:rFonts w:ascii="Arial" w:hAnsi="Arial" w:cs="Arial"/>
          <w:b/>
          <w:color w:val="2F5897" w:themeColor="text2"/>
          <w:sz w:val="20"/>
          <w:szCs w:val="20"/>
        </w:rPr>
        <w:t>What You May See in the Wild:</w:t>
      </w:r>
    </w:p>
    <w:p w:rsidR="00FF5F7E" w:rsidRPr="00FF5F7E" w:rsidRDefault="00FF5F7E" w:rsidP="00FF5F7E">
      <w:pPr>
        <w:widowControl w:val="0"/>
        <w:rPr>
          <w:sz w:val="20"/>
          <w:szCs w:val="20"/>
        </w:rPr>
      </w:pPr>
      <w:r w:rsidRPr="00FF5F7E">
        <w:rPr>
          <w:rFonts w:ascii="Arial" w:hAnsi="Arial" w:cs="Arial"/>
          <w:sz w:val="20"/>
          <w:szCs w:val="20"/>
        </w:rPr>
        <w:t>“The General Contractor shall retain ten percent of the amount of each progress payment to the Subcontractor.”</w:t>
      </w:r>
    </w:p>
    <w:p w:rsidR="00B75710" w:rsidRDefault="00B75710" w:rsidP="006A632D">
      <w:pPr>
        <w:rPr>
          <w:rFonts w:ascii="Arial" w:hAnsi="Arial" w:cs="Arial"/>
          <w:sz w:val="20"/>
          <w:szCs w:val="20"/>
        </w:rPr>
      </w:pPr>
    </w:p>
    <w:p w:rsidR="00B75710" w:rsidRDefault="00B75710" w:rsidP="00B75710">
      <w:pPr>
        <w:jc w:val="center"/>
        <w:rPr>
          <w:rFonts w:ascii="Arial" w:hAnsi="Arial" w:cs="Arial"/>
          <w:b/>
          <w:sz w:val="20"/>
          <w:szCs w:val="20"/>
        </w:rPr>
      </w:pPr>
      <w:r>
        <w:rPr>
          <w:rFonts w:ascii="Arial" w:hAnsi="Arial" w:cs="Arial"/>
          <w:sz w:val="20"/>
          <w:szCs w:val="20"/>
        </w:rPr>
        <w:br w:type="column"/>
      </w:r>
      <w:r w:rsidRPr="00C43C21">
        <w:rPr>
          <w:rFonts w:ascii="Arial" w:hAnsi="Arial" w:cs="Arial"/>
          <w:b/>
          <w:color w:val="2F5897" w:themeColor="text2"/>
          <w:sz w:val="20"/>
          <w:szCs w:val="20"/>
        </w:rPr>
        <w:lastRenderedPageBreak/>
        <w:t xml:space="preserve">Impact on </w:t>
      </w:r>
      <w:r w:rsidR="00086642">
        <w:rPr>
          <w:rFonts w:ascii="Arial" w:hAnsi="Arial" w:cs="Arial"/>
          <w:b/>
          <w:color w:val="2F5897" w:themeColor="text2"/>
          <w:sz w:val="20"/>
          <w:szCs w:val="20"/>
        </w:rPr>
        <w:t xml:space="preserve">the </w:t>
      </w:r>
      <w:r w:rsidRPr="00C43C21">
        <w:rPr>
          <w:rFonts w:ascii="Arial" w:hAnsi="Arial" w:cs="Arial"/>
          <w:b/>
          <w:color w:val="2F5897" w:themeColor="text2"/>
          <w:sz w:val="20"/>
          <w:szCs w:val="20"/>
        </w:rPr>
        <w:t>Subcontractor</w:t>
      </w:r>
    </w:p>
    <w:p w:rsidR="00B75710" w:rsidRPr="00FF5F7E" w:rsidRDefault="00B75710" w:rsidP="00FF5F7E">
      <w:pPr>
        <w:rPr>
          <w:rFonts w:ascii="Arial" w:hAnsi="Arial" w:cs="Arial"/>
          <w:b/>
          <w:sz w:val="20"/>
          <w:szCs w:val="20"/>
        </w:rPr>
      </w:pPr>
    </w:p>
    <w:p w:rsidR="00FF5F7E" w:rsidRDefault="00FF5F7E" w:rsidP="00FF5F7E">
      <w:pPr>
        <w:pStyle w:val="ListParagraph"/>
        <w:widowControl w:val="0"/>
        <w:numPr>
          <w:ilvl w:val="0"/>
          <w:numId w:val="3"/>
        </w:numPr>
        <w:tabs>
          <w:tab w:val="left" w:pos="180"/>
        </w:tabs>
        <w:ind w:left="180" w:hanging="180"/>
        <w:rPr>
          <w:rFonts w:ascii="Arial" w:hAnsi="Arial" w:cs="Arial"/>
          <w:sz w:val="20"/>
          <w:szCs w:val="20"/>
        </w:rPr>
      </w:pPr>
      <w:r w:rsidRPr="00FF5F7E">
        <w:rPr>
          <w:rFonts w:ascii="Arial" w:hAnsi="Arial" w:cs="Arial"/>
          <w:sz w:val="20"/>
          <w:szCs w:val="20"/>
        </w:rPr>
        <w:t>The GC may have a disincentive to complete the project if it is retaining more from its subs than the owner retained from it.</w:t>
      </w:r>
    </w:p>
    <w:p w:rsidR="00EB05BF" w:rsidRPr="00FF5F7E" w:rsidRDefault="00EB05BF" w:rsidP="00EB05BF">
      <w:pPr>
        <w:pStyle w:val="ListParagraph"/>
        <w:widowControl w:val="0"/>
        <w:tabs>
          <w:tab w:val="left" w:pos="180"/>
        </w:tabs>
        <w:ind w:left="180"/>
        <w:rPr>
          <w:rFonts w:ascii="Arial" w:hAnsi="Arial" w:cs="Arial"/>
          <w:sz w:val="20"/>
          <w:szCs w:val="20"/>
        </w:rPr>
      </w:pPr>
    </w:p>
    <w:p w:rsidR="00FF5F7E" w:rsidRPr="00FF5F7E" w:rsidRDefault="00FF5F7E" w:rsidP="00FF5F7E">
      <w:pPr>
        <w:pStyle w:val="ListParagraph"/>
        <w:widowControl w:val="0"/>
        <w:numPr>
          <w:ilvl w:val="0"/>
          <w:numId w:val="3"/>
        </w:numPr>
        <w:tabs>
          <w:tab w:val="left" w:pos="180"/>
        </w:tabs>
        <w:ind w:left="180" w:hanging="180"/>
        <w:rPr>
          <w:rFonts w:ascii="Arial" w:hAnsi="Arial" w:cs="Arial"/>
          <w:sz w:val="20"/>
          <w:szCs w:val="20"/>
        </w:rPr>
      </w:pPr>
      <w:r w:rsidRPr="00FF5F7E">
        <w:rPr>
          <w:rFonts w:ascii="Arial" w:hAnsi="Arial" w:cs="Arial"/>
          <w:sz w:val="20"/>
          <w:szCs w:val="20"/>
        </w:rPr>
        <w:t>The subcontractor’s cash flow may be severely reduced, too often even below its profit margin on the job.</w:t>
      </w:r>
    </w:p>
    <w:p w:rsidR="00FF5F7E" w:rsidRPr="00FF5F7E" w:rsidRDefault="00FF5F7E" w:rsidP="00FF5F7E">
      <w:pPr>
        <w:widowControl w:val="0"/>
        <w:tabs>
          <w:tab w:val="left" w:pos="180"/>
        </w:tabs>
        <w:ind w:left="180" w:hanging="180"/>
        <w:rPr>
          <w:rFonts w:ascii="Calibri" w:hAnsi="Calibri" w:cs="Calibri"/>
          <w:sz w:val="20"/>
          <w:szCs w:val="20"/>
        </w:rPr>
      </w:pPr>
    </w:p>
    <w:p w:rsidR="00C43C21" w:rsidRPr="00FF5F7E" w:rsidRDefault="00C43C21" w:rsidP="00FF5F7E">
      <w:pPr>
        <w:tabs>
          <w:tab w:val="left" w:pos="180"/>
        </w:tabs>
        <w:jc w:val="center"/>
        <w:rPr>
          <w:rFonts w:ascii="Arial" w:hAnsi="Arial" w:cs="Arial"/>
          <w:b/>
          <w:color w:val="2F5897" w:themeColor="text2"/>
          <w:sz w:val="20"/>
          <w:szCs w:val="20"/>
        </w:rPr>
      </w:pPr>
      <w:r w:rsidRPr="00FF5F7E">
        <w:rPr>
          <w:rFonts w:ascii="Arial" w:hAnsi="Arial" w:cs="Arial"/>
          <w:b/>
          <w:sz w:val="20"/>
          <w:szCs w:val="20"/>
        </w:rPr>
        <w:br w:type="column"/>
      </w:r>
      <w:r w:rsidRPr="00FF5F7E">
        <w:rPr>
          <w:rFonts w:ascii="Arial" w:hAnsi="Arial" w:cs="Arial"/>
          <w:b/>
          <w:color w:val="2F5897" w:themeColor="text2"/>
          <w:sz w:val="20"/>
          <w:szCs w:val="20"/>
        </w:rPr>
        <w:lastRenderedPageBreak/>
        <w:t>Negotiating Tips</w:t>
      </w:r>
    </w:p>
    <w:p w:rsidR="00C43C21" w:rsidRDefault="00C43C21" w:rsidP="00C43C21">
      <w:pPr>
        <w:tabs>
          <w:tab w:val="left" w:pos="180"/>
        </w:tabs>
        <w:rPr>
          <w:rFonts w:ascii="Arial" w:hAnsi="Arial" w:cs="Arial"/>
          <w:b/>
          <w:sz w:val="20"/>
          <w:szCs w:val="20"/>
        </w:rPr>
      </w:pPr>
    </w:p>
    <w:p w:rsidR="00FF5F7E" w:rsidRPr="00FF5F7E" w:rsidRDefault="00FF5F7E" w:rsidP="00FF5F7E">
      <w:pPr>
        <w:widowControl w:val="0"/>
        <w:rPr>
          <w:rFonts w:ascii="Arial" w:hAnsi="Arial" w:cs="Arial"/>
          <w:sz w:val="20"/>
          <w:szCs w:val="20"/>
        </w:rPr>
      </w:pPr>
      <w:r w:rsidRPr="00FF5F7E">
        <w:rPr>
          <w:rFonts w:ascii="Arial" w:hAnsi="Arial" w:cs="Arial"/>
          <w:b/>
          <w:bCs/>
          <w:sz w:val="20"/>
          <w:szCs w:val="20"/>
        </w:rPr>
        <w:t>When the GC Says:</w:t>
      </w:r>
      <w:r w:rsidRPr="00FF5F7E">
        <w:rPr>
          <w:rFonts w:ascii="Arial" w:hAnsi="Arial" w:cs="Arial"/>
          <w:sz w:val="20"/>
          <w:szCs w:val="20"/>
        </w:rPr>
        <w:t xml:space="preserve"> “It’s really none of your business how much the owner retains.”</w:t>
      </w:r>
    </w:p>
    <w:p w:rsidR="00FF5F7E" w:rsidRPr="00FF5F7E" w:rsidRDefault="00FF5F7E" w:rsidP="00FF5F7E">
      <w:pPr>
        <w:widowControl w:val="0"/>
        <w:rPr>
          <w:rFonts w:ascii="Arial" w:hAnsi="Arial" w:cs="Arial"/>
          <w:sz w:val="20"/>
          <w:szCs w:val="20"/>
        </w:rPr>
      </w:pPr>
      <w:r w:rsidRPr="00FF5F7E">
        <w:rPr>
          <w:rFonts w:ascii="Arial" w:hAnsi="Arial" w:cs="Arial"/>
          <w:b/>
          <w:bCs/>
          <w:sz w:val="20"/>
          <w:szCs w:val="20"/>
        </w:rPr>
        <w:t>The Sub Should Say:</w:t>
      </w:r>
      <w:r w:rsidRPr="00FF5F7E">
        <w:rPr>
          <w:rFonts w:ascii="Arial" w:hAnsi="Arial" w:cs="Arial"/>
          <w:sz w:val="20"/>
          <w:szCs w:val="20"/>
        </w:rPr>
        <w:t xml:space="preserve"> “If the owner felt that we were not entitled to payment, he wouldn’t have released the funds for our work.”</w:t>
      </w:r>
    </w:p>
    <w:p w:rsidR="00FF5F7E" w:rsidRPr="00FF5F7E" w:rsidRDefault="00FF5F7E" w:rsidP="00FF5F7E">
      <w:pPr>
        <w:widowControl w:val="0"/>
        <w:rPr>
          <w:rFonts w:ascii="Arial" w:hAnsi="Arial" w:cs="Arial"/>
          <w:sz w:val="20"/>
          <w:szCs w:val="20"/>
        </w:rPr>
      </w:pPr>
      <w:r w:rsidRPr="00FF5F7E">
        <w:rPr>
          <w:rFonts w:ascii="Arial" w:hAnsi="Arial" w:cs="Arial"/>
          <w:sz w:val="20"/>
          <w:szCs w:val="20"/>
        </w:rPr>
        <w:t> </w:t>
      </w:r>
    </w:p>
    <w:p w:rsidR="00FF5F7E" w:rsidRPr="00FF5F7E" w:rsidRDefault="00FF5F7E" w:rsidP="00FF5F7E">
      <w:pPr>
        <w:widowControl w:val="0"/>
        <w:rPr>
          <w:rFonts w:ascii="Arial" w:hAnsi="Arial" w:cs="Arial"/>
          <w:sz w:val="20"/>
          <w:szCs w:val="20"/>
        </w:rPr>
      </w:pPr>
      <w:r w:rsidRPr="00FF5F7E">
        <w:rPr>
          <w:rFonts w:ascii="Arial" w:hAnsi="Arial" w:cs="Arial"/>
          <w:b/>
          <w:bCs/>
          <w:sz w:val="20"/>
          <w:szCs w:val="20"/>
        </w:rPr>
        <w:t xml:space="preserve">When the GC Says: </w:t>
      </w:r>
      <w:r w:rsidRPr="00FF5F7E">
        <w:rPr>
          <w:rFonts w:ascii="Arial" w:hAnsi="Arial" w:cs="Arial"/>
          <w:sz w:val="20"/>
          <w:szCs w:val="20"/>
        </w:rPr>
        <w:t>“Ten percent retainage is standard industry practice.”</w:t>
      </w:r>
    </w:p>
    <w:p w:rsidR="00FF5F7E" w:rsidRPr="00FF5F7E" w:rsidRDefault="00FF5F7E" w:rsidP="00FF5F7E">
      <w:pPr>
        <w:widowControl w:val="0"/>
        <w:rPr>
          <w:rFonts w:ascii="Arial" w:hAnsi="Arial" w:cs="Arial"/>
          <w:sz w:val="20"/>
          <w:szCs w:val="20"/>
        </w:rPr>
      </w:pPr>
      <w:r w:rsidRPr="00FF5F7E">
        <w:rPr>
          <w:rFonts w:ascii="Arial" w:hAnsi="Arial" w:cs="Arial"/>
          <w:b/>
          <w:bCs/>
          <w:sz w:val="20"/>
          <w:szCs w:val="20"/>
        </w:rPr>
        <w:t>The Sub Should Say:</w:t>
      </w:r>
      <w:r w:rsidRPr="00FF5F7E">
        <w:rPr>
          <w:rFonts w:ascii="Arial" w:hAnsi="Arial" w:cs="Arial"/>
          <w:sz w:val="20"/>
          <w:szCs w:val="20"/>
        </w:rPr>
        <w:t xml:space="preserve"> “That may have been true a generation ago. But today, industry leaders like ConsensusDocs and even the federal government and many states prohibit GCs from retaining more from their subs than the owner is retaining from the GC.”  </w:t>
      </w:r>
    </w:p>
    <w:p w:rsidR="00FF5F7E" w:rsidRDefault="00FF5F7E" w:rsidP="00FF5F7E">
      <w:pPr>
        <w:widowControl w:val="0"/>
        <w:rPr>
          <w:rFonts w:ascii="Calibri" w:hAnsi="Calibri" w:cs="Calibri"/>
        </w:rPr>
      </w:pPr>
      <w:r>
        <w:t> </w:t>
      </w:r>
    </w:p>
    <w:p w:rsidR="00DA0394" w:rsidRDefault="00DA0394" w:rsidP="00C43C21">
      <w:pPr>
        <w:tabs>
          <w:tab w:val="left" w:pos="180"/>
        </w:tabs>
        <w:rPr>
          <w:rFonts w:ascii="Arial" w:hAnsi="Arial" w:cs="Arial"/>
          <w:sz w:val="20"/>
          <w:szCs w:val="20"/>
        </w:rPr>
        <w:sectPr w:rsidR="00DA0394" w:rsidSect="00DE2931">
          <w:type w:val="continuous"/>
          <w:pgSz w:w="15840" w:h="12240" w:orient="landscape"/>
          <w:pgMar w:top="720" w:right="432" w:bottom="720" w:left="432" w:header="720" w:footer="720" w:gutter="0"/>
          <w:cols w:num="3" w:sep="1" w:space="576" w:equalWidth="0">
            <w:col w:w="3600" w:space="576"/>
            <w:col w:w="3652" w:space="576"/>
            <w:col w:w="6572"/>
          </w:cols>
          <w:docGrid w:linePitch="360"/>
        </w:sectPr>
      </w:pPr>
    </w:p>
    <w:p w:rsidR="003D342D" w:rsidRDefault="003D342D" w:rsidP="00C43C21">
      <w:pPr>
        <w:tabs>
          <w:tab w:val="left" w:pos="180"/>
        </w:tabs>
        <w:rPr>
          <w:rFonts w:ascii="Arial" w:hAnsi="Arial" w:cs="Arial"/>
          <w:sz w:val="20"/>
          <w:szCs w:val="20"/>
        </w:rPr>
      </w:pPr>
    </w:p>
    <w:p w:rsidR="00DA0394" w:rsidRPr="003C2F55" w:rsidRDefault="00DA0394" w:rsidP="00C43C21">
      <w:pPr>
        <w:tabs>
          <w:tab w:val="left" w:pos="180"/>
        </w:tabs>
        <w:rPr>
          <w:rFonts w:ascii="Arial" w:hAnsi="Arial" w:cs="Arial"/>
          <w:color w:val="2F5897" w:themeColor="text2"/>
          <w:sz w:val="20"/>
          <w:szCs w:val="20"/>
        </w:rPr>
      </w:pPr>
      <w:r w:rsidRPr="003C2F55">
        <w:rPr>
          <w:rFonts w:ascii="Arial" w:hAnsi="Arial" w:cs="Arial"/>
          <w:b/>
          <w:color w:val="2F5897" w:themeColor="text2"/>
          <w:sz w:val="20"/>
          <w:szCs w:val="20"/>
        </w:rPr>
        <w:t>Additional Resources:</w:t>
      </w:r>
    </w:p>
    <w:p w:rsidR="002E6519" w:rsidRDefault="002E6519" w:rsidP="00C43C21">
      <w:pPr>
        <w:tabs>
          <w:tab w:val="left" w:pos="180"/>
        </w:tabs>
        <w:rPr>
          <w:rFonts w:ascii="Arial" w:hAnsi="Arial" w:cs="Arial"/>
          <w:sz w:val="20"/>
          <w:szCs w:val="20"/>
        </w:rPr>
      </w:pPr>
      <w:r>
        <w:rPr>
          <w:rFonts w:ascii="Arial" w:hAnsi="Arial" w:cs="Arial"/>
          <w:i/>
          <w:sz w:val="20"/>
          <w:szCs w:val="20"/>
        </w:rPr>
        <w:t>ASA Subcontract Addendum (2011)</w:t>
      </w:r>
      <w:r w:rsidR="00C0744A">
        <w:rPr>
          <w:rFonts w:ascii="Arial" w:hAnsi="Arial" w:cs="Arial"/>
          <w:i/>
          <w:sz w:val="20"/>
          <w:szCs w:val="20"/>
        </w:rPr>
        <w:t xml:space="preserve">, </w:t>
      </w:r>
      <w:r w:rsidR="00C0744A">
        <w:rPr>
          <w:rFonts w:ascii="Arial" w:hAnsi="Arial" w:cs="Arial"/>
          <w:sz w:val="20"/>
          <w:szCs w:val="20"/>
        </w:rPr>
        <w:t xml:space="preserve">¶ </w:t>
      </w:r>
      <w:r w:rsidR="00FF5F7E">
        <w:rPr>
          <w:rFonts w:ascii="Arial" w:hAnsi="Arial" w:cs="Arial"/>
          <w:sz w:val="20"/>
          <w:szCs w:val="20"/>
        </w:rPr>
        <w:t>6</w:t>
      </w:r>
      <w:r>
        <w:rPr>
          <w:rFonts w:ascii="Arial" w:hAnsi="Arial" w:cs="Arial"/>
          <w:i/>
          <w:sz w:val="20"/>
          <w:szCs w:val="20"/>
        </w:rPr>
        <w:t>.</w:t>
      </w:r>
      <w:r>
        <w:rPr>
          <w:rFonts w:ascii="Arial" w:hAnsi="Arial" w:cs="Arial"/>
          <w:sz w:val="20"/>
          <w:szCs w:val="20"/>
        </w:rPr>
        <w:t xml:space="preserve"> Available to ASA members at </w:t>
      </w:r>
      <w:hyperlink r:id="rId16" w:history="1">
        <w:r w:rsidRPr="00F568E5">
          <w:rPr>
            <w:rStyle w:val="Hyperlink"/>
            <w:rFonts w:ascii="Arial" w:hAnsi="Arial" w:cs="Arial"/>
            <w:sz w:val="20"/>
            <w:szCs w:val="20"/>
          </w:rPr>
          <w:t>www.ASAonline.com</w:t>
        </w:r>
      </w:hyperlink>
      <w:r>
        <w:rPr>
          <w:rFonts w:ascii="Arial" w:hAnsi="Arial" w:cs="Arial"/>
          <w:sz w:val="20"/>
          <w:szCs w:val="20"/>
        </w:rPr>
        <w:t>.</w:t>
      </w:r>
    </w:p>
    <w:p w:rsidR="00DA0394" w:rsidRDefault="00FF5F7E" w:rsidP="00C43C21">
      <w:pPr>
        <w:tabs>
          <w:tab w:val="left" w:pos="180"/>
        </w:tabs>
        <w:rPr>
          <w:rFonts w:ascii="Arial" w:hAnsi="Arial" w:cs="Arial"/>
          <w:sz w:val="20"/>
          <w:szCs w:val="20"/>
        </w:rPr>
      </w:pPr>
      <w:r>
        <w:rPr>
          <w:rFonts w:ascii="Arial" w:hAnsi="Arial" w:cs="Arial"/>
          <w:i/>
          <w:sz w:val="20"/>
          <w:szCs w:val="20"/>
        </w:rPr>
        <w:t>Retainage Laws in the 50 States</w:t>
      </w:r>
      <w:r w:rsidR="00C143FB">
        <w:rPr>
          <w:rFonts w:ascii="Arial" w:hAnsi="Arial" w:cs="Arial"/>
          <w:i/>
          <w:sz w:val="20"/>
          <w:szCs w:val="20"/>
        </w:rPr>
        <w:t xml:space="preserve"> (201</w:t>
      </w:r>
      <w:r w:rsidR="00DB483C">
        <w:rPr>
          <w:rFonts w:ascii="Arial" w:hAnsi="Arial" w:cs="Arial"/>
          <w:i/>
          <w:sz w:val="20"/>
          <w:szCs w:val="20"/>
        </w:rPr>
        <w:t>3</w:t>
      </w:r>
      <w:r w:rsidR="00C143FB">
        <w:rPr>
          <w:rFonts w:ascii="Arial" w:hAnsi="Arial" w:cs="Arial"/>
          <w:i/>
          <w:sz w:val="20"/>
          <w:szCs w:val="20"/>
        </w:rPr>
        <w:t>)</w:t>
      </w:r>
      <w:r w:rsidR="00C143FB">
        <w:rPr>
          <w:rFonts w:ascii="Arial" w:hAnsi="Arial" w:cs="Arial"/>
          <w:sz w:val="20"/>
          <w:szCs w:val="20"/>
        </w:rPr>
        <w:t xml:space="preserve">. Available to ASA members at </w:t>
      </w:r>
      <w:hyperlink r:id="rId17" w:history="1">
        <w:r w:rsidR="00C143FB" w:rsidRPr="00F568E5">
          <w:rPr>
            <w:rStyle w:val="Hyperlink"/>
            <w:rFonts w:ascii="Arial" w:hAnsi="Arial" w:cs="Arial"/>
            <w:sz w:val="20"/>
            <w:szCs w:val="20"/>
          </w:rPr>
          <w:t>www.ASAonline.com</w:t>
        </w:r>
      </w:hyperlink>
      <w:r w:rsidR="00C143FB">
        <w:rPr>
          <w:rFonts w:ascii="Arial" w:hAnsi="Arial" w:cs="Arial"/>
          <w:sz w:val="20"/>
          <w:szCs w:val="20"/>
        </w:rPr>
        <w:t>.</w:t>
      </w:r>
    </w:p>
    <w:p w:rsidR="00C0744A" w:rsidRDefault="00DB483C" w:rsidP="00C43C21">
      <w:pPr>
        <w:tabs>
          <w:tab w:val="left" w:pos="180"/>
        </w:tabs>
        <w:rPr>
          <w:rFonts w:ascii="Arial" w:hAnsi="Arial" w:cs="Arial"/>
          <w:sz w:val="20"/>
          <w:szCs w:val="20"/>
        </w:rPr>
      </w:pPr>
      <w:r>
        <w:rPr>
          <w:rFonts w:ascii="Arial" w:hAnsi="Arial" w:cs="Arial"/>
          <w:i/>
          <w:sz w:val="20"/>
          <w:szCs w:val="20"/>
        </w:rPr>
        <w:t xml:space="preserve">Eliminating or Limiting Retainage </w:t>
      </w:r>
      <w:r w:rsidR="00C0744A">
        <w:rPr>
          <w:rFonts w:ascii="Arial" w:hAnsi="Arial" w:cs="Arial"/>
          <w:i/>
          <w:sz w:val="20"/>
          <w:szCs w:val="20"/>
        </w:rPr>
        <w:t xml:space="preserve">(2009). </w:t>
      </w:r>
      <w:r w:rsidR="00C0744A">
        <w:rPr>
          <w:rFonts w:ascii="Arial" w:hAnsi="Arial" w:cs="Arial"/>
          <w:sz w:val="20"/>
          <w:szCs w:val="20"/>
        </w:rPr>
        <w:t xml:space="preserve">Available to ASA members at </w:t>
      </w:r>
      <w:hyperlink r:id="rId18" w:history="1">
        <w:r w:rsidR="00C0744A" w:rsidRPr="00AA4205">
          <w:rPr>
            <w:rStyle w:val="Hyperlink"/>
            <w:rFonts w:ascii="Arial" w:hAnsi="Arial" w:cs="Arial"/>
            <w:sz w:val="20"/>
            <w:szCs w:val="20"/>
          </w:rPr>
          <w:t>www.ASAonline.com</w:t>
        </w:r>
      </w:hyperlink>
      <w:r w:rsidR="00C0744A">
        <w:rPr>
          <w:rFonts w:ascii="Arial" w:hAnsi="Arial" w:cs="Arial"/>
          <w:sz w:val="20"/>
          <w:szCs w:val="20"/>
        </w:rPr>
        <w:t>.</w:t>
      </w:r>
    </w:p>
    <w:p w:rsidR="00C0744A" w:rsidRDefault="00C0744A" w:rsidP="00C43C21">
      <w:pPr>
        <w:tabs>
          <w:tab w:val="left" w:pos="180"/>
        </w:tabs>
        <w:rPr>
          <w:rFonts w:ascii="Arial" w:hAnsi="Arial" w:cs="Arial"/>
          <w:sz w:val="20"/>
          <w:szCs w:val="20"/>
        </w:rPr>
      </w:pPr>
      <w:r w:rsidRPr="00FE090B">
        <w:rPr>
          <w:rFonts w:ascii="Arial" w:hAnsi="Arial" w:cs="Arial"/>
          <w:sz w:val="20"/>
          <w:szCs w:val="20"/>
        </w:rPr>
        <w:t>ConsensusDocs</w:t>
      </w:r>
      <w:r>
        <w:rPr>
          <w:rFonts w:ascii="Arial" w:hAnsi="Arial" w:cs="Arial"/>
          <w:i/>
          <w:sz w:val="20"/>
          <w:szCs w:val="20"/>
        </w:rPr>
        <w:t xml:space="preserve"> Form 750, Standard Agreement Between Construct</w:t>
      </w:r>
      <w:r w:rsidR="006173D3">
        <w:rPr>
          <w:rFonts w:ascii="Arial" w:hAnsi="Arial" w:cs="Arial"/>
          <w:i/>
          <w:sz w:val="20"/>
          <w:szCs w:val="20"/>
        </w:rPr>
        <w:t>or</w:t>
      </w:r>
      <w:r>
        <w:rPr>
          <w:rFonts w:ascii="Arial" w:hAnsi="Arial" w:cs="Arial"/>
          <w:i/>
          <w:sz w:val="20"/>
          <w:szCs w:val="20"/>
        </w:rPr>
        <w:t xml:space="preserve"> and Subcontractor (2012),¶ 8.2.</w:t>
      </w:r>
      <w:r w:rsidR="00DB483C">
        <w:rPr>
          <w:rFonts w:ascii="Arial" w:hAnsi="Arial" w:cs="Arial"/>
          <w:i/>
          <w:sz w:val="20"/>
          <w:szCs w:val="20"/>
        </w:rPr>
        <w:t>2</w:t>
      </w:r>
      <w:r>
        <w:rPr>
          <w:rFonts w:ascii="Arial" w:hAnsi="Arial" w:cs="Arial"/>
          <w:i/>
          <w:sz w:val="20"/>
          <w:szCs w:val="20"/>
        </w:rPr>
        <w:t>.</w:t>
      </w:r>
      <w:r>
        <w:rPr>
          <w:rFonts w:ascii="Arial" w:hAnsi="Arial" w:cs="Arial"/>
          <w:sz w:val="20"/>
          <w:szCs w:val="20"/>
        </w:rPr>
        <w:t xml:space="preserve"> Available at </w:t>
      </w:r>
      <w:hyperlink r:id="rId19" w:history="1">
        <w:r w:rsidRPr="00AA4205">
          <w:rPr>
            <w:rStyle w:val="Hyperlink"/>
            <w:rFonts w:ascii="Arial" w:hAnsi="Arial" w:cs="Arial"/>
            <w:sz w:val="20"/>
            <w:szCs w:val="20"/>
          </w:rPr>
          <w:t>www.ConsensusDocs.org</w:t>
        </w:r>
      </w:hyperlink>
      <w:r>
        <w:rPr>
          <w:rFonts w:ascii="Arial" w:hAnsi="Arial" w:cs="Arial"/>
          <w:sz w:val="20"/>
          <w:szCs w:val="20"/>
        </w:rPr>
        <w:t>; ASA members can get a 20 percent discount by entering ASA100.</w:t>
      </w:r>
    </w:p>
    <w:p w:rsidR="00C0744A" w:rsidRDefault="00FE090B" w:rsidP="00C43C21">
      <w:pPr>
        <w:tabs>
          <w:tab w:val="left" w:pos="180"/>
        </w:tabs>
        <w:rPr>
          <w:rFonts w:ascii="Arial" w:hAnsi="Arial" w:cs="Arial"/>
          <w:sz w:val="20"/>
          <w:szCs w:val="20"/>
        </w:rPr>
      </w:pPr>
      <w:r>
        <w:rPr>
          <w:rFonts w:ascii="Arial" w:hAnsi="Arial" w:cs="Arial"/>
          <w:sz w:val="20"/>
          <w:szCs w:val="20"/>
        </w:rPr>
        <w:t xml:space="preserve">American Institute of Architects </w:t>
      </w:r>
      <w:r>
        <w:rPr>
          <w:rFonts w:ascii="Arial" w:hAnsi="Arial" w:cs="Arial"/>
          <w:i/>
          <w:sz w:val="20"/>
          <w:szCs w:val="20"/>
        </w:rPr>
        <w:t>Form A401, Standard Form of Agreement Between Contractor and Subcontractor (2007),</w:t>
      </w:r>
      <w:r>
        <w:rPr>
          <w:rFonts w:ascii="Arial" w:hAnsi="Arial" w:cs="Arial"/>
          <w:sz w:val="20"/>
          <w:szCs w:val="20"/>
        </w:rPr>
        <w:t xml:space="preserve"> ¶11.</w:t>
      </w:r>
      <w:r w:rsidR="00FC7AE1">
        <w:rPr>
          <w:rFonts w:ascii="Arial" w:hAnsi="Arial" w:cs="Arial"/>
          <w:sz w:val="20"/>
          <w:szCs w:val="20"/>
        </w:rPr>
        <w:t>7.1</w:t>
      </w:r>
      <w:r>
        <w:rPr>
          <w:rFonts w:ascii="Arial" w:hAnsi="Arial" w:cs="Arial"/>
          <w:sz w:val="20"/>
          <w:szCs w:val="20"/>
        </w:rPr>
        <w:t>.</w:t>
      </w:r>
      <w:r w:rsidR="000C0DEF">
        <w:rPr>
          <w:rFonts w:ascii="Arial" w:hAnsi="Arial" w:cs="Arial"/>
          <w:sz w:val="20"/>
          <w:szCs w:val="20"/>
        </w:rPr>
        <w:t xml:space="preserve"> Available </w:t>
      </w:r>
      <w:r w:rsidR="006F756E">
        <w:rPr>
          <w:rFonts w:ascii="Arial" w:hAnsi="Arial" w:cs="Arial"/>
          <w:sz w:val="20"/>
          <w:szCs w:val="20"/>
        </w:rPr>
        <w:t xml:space="preserve">at </w:t>
      </w:r>
      <w:hyperlink r:id="rId20" w:history="1">
        <w:r w:rsidR="006F756E" w:rsidRPr="00AA4205">
          <w:rPr>
            <w:rStyle w:val="Hyperlink"/>
            <w:rFonts w:ascii="Arial" w:hAnsi="Arial" w:cs="Arial"/>
            <w:sz w:val="20"/>
            <w:szCs w:val="20"/>
          </w:rPr>
          <w:t>www.aia.org/contractdocs/</w:t>
        </w:r>
      </w:hyperlink>
      <w:r w:rsidR="006F756E">
        <w:rPr>
          <w:rFonts w:ascii="Arial" w:hAnsi="Arial" w:cs="Arial"/>
          <w:sz w:val="20"/>
          <w:szCs w:val="20"/>
        </w:rPr>
        <w:t>.</w:t>
      </w:r>
      <w:r>
        <w:rPr>
          <w:rFonts w:ascii="Arial" w:hAnsi="Arial" w:cs="Arial"/>
          <w:sz w:val="20"/>
          <w:szCs w:val="20"/>
        </w:rPr>
        <w:t xml:space="preserve"> </w:t>
      </w:r>
    </w:p>
    <w:p w:rsidR="00021D0E" w:rsidRPr="00021D0E" w:rsidRDefault="00021D0E" w:rsidP="00C43C21">
      <w:pPr>
        <w:tabs>
          <w:tab w:val="left" w:pos="180"/>
        </w:tabs>
      </w:pPr>
      <w:r>
        <w:rPr>
          <w:rFonts w:ascii="Arial" w:hAnsi="Arial" w:cs="Arial"/>
          <w:i/>
          <w:sz w:val="20"/>
          <w:szCs w:val="20"/>
        </w:rPr>
        <w:t xml:space="preserve">Guidelines for a Successful Construction Project (2008), </w:t>
      </w:r>
      <w:r>
        <w:rPr>
          <w:rFonts w:ascii="Arial" w:hAnsi="Arial" w:cs="Arial"/>
          <w:sz w:val="20"/>
          <w:szCs w:val="20"/>
        </w:rPr>
        <w:t xml:space="preserve">“Guideline on Retainage.” Available at </w:t>
      </w:r>
      <w:hyperlink r:id="rId21" w:history="1">
        <w:r w:rsidRPr="00AA4205">
          <w:rPr>
            <w:rStyle w:val="Hyperlink"/>
            <w:rFonts w:ascii="Arial" w:hAnsi="Arial" w:cs="Arial"/>
            <w:sz w:val="20"/>
            <w:szCs w:val="20"/>
          </w:rPr>
          <w:t>www.ConstructionGuidelines.org</w:t>
        </w:r>
      </w:hyperlink>
      <w:r>
        <w:rPr>
          <w:rFonts w:ascii="Arial" w:hAnsi="Arial" w:cs="Arial"/>
          <w:sz w:val="20"/>
          <w:szCs w:val="20"/>
        </w:rPr>
        <w:t xml:space="preserve">.  </w:t>
      </w:r>
    </w:p>
    <w:p w:rsidR="00C143FB" w:rsidRPr="00C143FB" w:rsidRDefault="00C143FB" w:rsidP="00C43C21">
      <w:pPr>
        <w:tabs>
          <w:tab w:val="left" w:pos="180"/>
        </w:tabs>
        <w:rPr>
          <w:rFonts w:ascii="Arial" w:hAnsi="Arial" w:cs="Arial"/>
          <w:sz w:val="20"/>
          <w:szCs w:val="20"/>
        </w:rPr>
      </w:pPr>
    </w:p>
    <w:p w:rsidR="000C64AC" w:rsidRDefault="000C64AC" w:rsidP="00C43C21">
      <w:pPr>
        <w:tabs>
          <w:tab w:val="left" w:pos="180"/>
        </w:tabs>
        <w:rPr>
          <w:rFonts w:ascii="Arial" w:hAnsi="Arial" w:cs="Arial"/>
          <w:sz w:val="20"/>
          <w:szCs w:val="20"/>
        </w:rPr>
      </w:pPr>
    </w:p>
    <w:p w:rsidR="00DE2931" w:rsidRDefault="00DE2931" w:rsidP="00C43C21">
      <w:pPr>
        <w:tabs>
          <w:tab w:val="left" w:pos="180"/>
        </w:tabs>
        <w:rPr>
          <w:rFonts w:ascii="Arial" w:hAnsi="Arial" w:cs="Arial"/>
          <w:sz w:val="20"/>
          <w:szCs w:val="20"/>
        </w:rPr>
      </w:pPr>
    </w:p>
    <w:p w:rsidR="00DE2931" w:rsidRPr="00C43C21" w:rsidRDefault="00DE2931" w:rsidP="00C43C21">
      <w:pPr>
        <w:tabs>
          <w:tab w:val="left" w:pos="180"/>
        </w:tabs>
        <w:rPr>
          <w:rFonts w:ascii="Arial" w:hAnsi="Arial" w:cs="Arial"/>
          <w:sz w:val="20"/>
          <w:szCs w:val="20"/>
        </w:rPr>
      </w:pPr>
    </w:p>
    <w:sectPr w:rsidR="00DE2931" w:rsidRPr="00C43C21" w:rsidSect="00DA0394">
      <w:type w:val="continuous"/>
      <w:pgSz w:w="15840" w:h="12240" w:orient="landscape"/>
      <w:pgMar w:top="720" w:right="432" w:bottom="720" w:left="432" w:header="720" w:footer="720" w:gutter="0"/>
      <w:cols w:sep="1"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99" w:rsidRDefault="00461199" w:rsidP="006A632D">
      <w:r>
        <w:separator/>
      </w:r>
    </w:p>
  </w:endnote>
  <w:endnote w:type="continuationSeparator" w:id="0">
    <w:p w:rsidR="00461199" w:rsidRDefault="00461199" w:rsidP="006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0A" w:rsidRPr="00B56670" w:rsidRDefault="00F4340A">
    <w:pPr>
      <w:pStyle w:val="Footer"/>
      <w:rPr>
        <w:rFonts w:ascii="Arial" w:hAnsi="Arial" w:cs="Arial"/>
        <w:color w:val="2F5897" w:themeColor="text2"/>
        <w:sz w:val="16"/>
        <w:szCs w:val="16"/>
      </w:rPr>
    </w:pPr>
    <w:r w:rsidRPr="00BA2681">
      <w:rPr>
        <w:rFonts w:ascii="Arial" w:hAnsi="Arial" w:cs="Arial"/>
        <w:color w:val="2F5897" w:themeColor="text2"/>
        <w:sz w:val="16"/>
        <w:szCs w:val="16"/>
      </w:rPr>
      <w:t xml:space="preserve">Copyright </w:t>
    </w:r>
    <w:r w:rsidR="00C143FB" w:rsidRPr="00BA2681">
      <w:rPr>
        <w:rFonts w:ascii="Arial" w:hAnsi="Arial" w:cs="Arial"/>
        <w:color w:val="2F5897" w:themeColor="text2"/>
        <w:sz w:val="16"/>
        <w:szCs w:val="16"/>
      </w:rPr>
      <w:t xml:space="preserve">© </w:t>
    </w:r>
    <w:r w:rsidRPr="00BA2681">
      <w:rPr>
        <w:rFonts w:ascii="Arial" w:hAnsi="Arial" w:cs="Arial"/>
        <w:color w:val="2F5897" w:themeColor="text2"/>
        <w:sz w:val="16"/>
        <w:szCs w:val="16"/>
      </w:rPr>
      <w:t xml:space="preserve">2013 American Subcontractors Association, Inc., 1004 Duke Street, </w:t>
    </w:r>
    <w:r w:rsidRPr="00B56670">
      <w:rPr>
        <w:rFonts w:ascii="Arial" w:hAnsi="Arial" w:cs="Arial"/>
        <w:color w:val="2F5897" w:themeColor="text2"/>
        <w:sz w:val="16"/>
        <w:szCs w:val="16"/>
      </w:rPr>
      <w:t>Al</w:t>
    </w:r>
    <w:r w:rsidR="00B56670" w:rsidRPr="00B56670">
      <w:rPr>
        <w:rFonts w:ascii="Arial" w:hAnsi="Arial" w:cs="Arial"/>
        <w:color w:val="2F5897" w:themeColor="text2"/>
        <w:sz w:val="16"/>
        <w:szCs w:val="16"/>
      </w:rPr>
      <w:t xml:space="preserve">exandria VA 22314, 703-684-3450, </w:t>
    </w:r>
    <w:hyperlink r:id="rId1" w:history="1">
      <w:r w:rsidR="00B56670" w:rsidRPr="00B56670">
        <w:rPr>
          <w:rStyle w:val="Hyperlink"/>
          <w:rFonts w:ascii="Arial" w:hAnsi="Arial" w:cs="Arial"/>
          <w:color w:val="2F5897" w:themeColor="text2"/>
          <w:sz w:val="16"/>
          <w:szCs w:val="16"/>
        </w:rPr>
        <w:t>ASAOffice@ASA-HQ.com</w:t>
      </w:r>
    </w:hyperlink>
    <w:r w:rsidR="00B56670">
      <w:rPr>
        <w:rFonts w:ascii="Arial" w:hAnsi="Arial" w:cs="Arial"/>
        <w:color w:val="2F5897" w:themeColor="text2"/>
        <w:sz w:val="16"/>
        <w:szCs w:val="16"/>
      </w:rPr>
      <w:t>,</w:t>
    </w:r>
    <w:r w:rsidR="00B56670" w:rsidRPr="00B56670">
      <w:rPr>
        <w:rFonts w:ascii="Arial" w:hAnsi="Arial" w:cs="Arial"/>
        <w:color w:val="2F5897" w:themeColor="text2"/>
        <w:sz w:val="16"/>
        <w:szCs w:val="16"/>
      </w:rPr>
      <w:t xml:space="preserve"> </w:t>
    </w:r>
    <w:hyperlink r:id="rId2" w:history="1">
      <w:r w:rsidRPr="00B56670">
        <w:rPr>
          <w:rStyle w:val="Hyperlink"/>
          <w:rFonts w:ascii="Arial" w:hAnsi="Arial" w:cs="Arial"/>
          <w:color w:val="2F5897" w:themeColor="text2"/>
          <w:sz w:val="16"/>
          <w:szCs w:val="16"/>
        </w:rPr>
        <w:t>www.ASAonline.com</w:t>
      </w:r>
    </w:hyperlink>
    <w:r w:rsidRPr="00B56670">
      <w:rPr>
        <w:rFonts w:ascii="Arial" w:hAnsi="Arial" w:cs="Arial"/>
        <w:color w:val="2F5897" w:themeColor="text2"/>
        <w:sz w:val="16"/>
        <w:szCs w:val="16"/>
      </w:rPr>
      <w:t xml:space="preserve">. </w:t>
    </w:r>
  </w:p>
  <w:p w:rsidR="00F4340A" w:rsidRPr="00B56670" w:rsidRDefault="00F4340A">
    <w:pPr>
      <w:pStyle w:val="Footer"/>
      <w:rPr>
        <w:color w:val="2F5897" w:themeColor="text2"/>
      </w:rPr>
    </w:pPr>
    <w:r w:rsidRPr="00B56670">
      <w:rPr>
        <w:rFonts w:ascii="Arial" w:hAnsi="Arial" w:cs="Arial"/>
        <w:color w:val="2F5897" w:themeColor="text2"/>
        <w:sz w:val="16"/>
        <w:szCs w:val="16"/>
      </w:rPr>
      <w:t xml:space="preserve">Licensed for use by current ASA members. This form is </w:t>
    </w:r>
    <w:r w:rsidRPr="00B56670">
      <w:rPr>
        <w:rFonts w:ascii="Arial" w:hAnsi="Arial" w:cs="Arial"/>
        <w:color w:val="2F5897" w:themeColor="text2"/>
        <w:sz w:val="16"/>
        <w:szCs w:val="16"/>
        <w:u w:val="single"/>
      </w:rPr>
      <w:t>not warranted</w:t>
    </w:r>
    <w:r w:rsidRPr="00B56670">
      <w:rPr>
        <w:rFonts w:ascii="Arial" w:hAnsi="Arial" w:cs="Arial"/>
        <w:color w:val="2F5897" w:themeColor="text2"/>
        <w:sz w:val="16"/>
        <w:szCs w:val="16"/>
      </w:rPr>
      <w:t xml:space="preserve"> and is not legal advice.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99" w:rsidRDefault="00461199" w:rsidP="006A632D">
      <w:r>
        <w:separator/>
      </w:r>
    </w:p>
  </w:footnote>
  <w:footnote w:type="continuationSeparator" w:id="0">
    <w:p w:rsidR="00461199" w:rsidRDefault="00461199" w:rsidP="006A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84" w:rsidRDefault="0033718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1" w:rsidRDefault="00BA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2AE"/>
    <w:multiLevelType w:val="hybridMultilevel"/>
    <w:tmpl w:val="9C6A3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A714D"/>
    <w:multiLevelType w:val="hybridMultilevel"/>
    <w:tmpl w:val="ACC20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7199E"/>
    <w:multiLevelType w:val="hybridMultilevel"/>
    <w:tmpl w:val="FA7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D"/>
    <w:rsid w:val="00021D0E"/>
    <w:rsid w:val="00086642"/>
    <w:rsid w:val="000C0DEF"/>
    <w:rsid w:val="000C64AC"/>
    <w:rsid w:val="00111997"/>
    <w:rsid w:val="00192762"/>
    <w:rsid w:val="002E6519"/>
    <w:rsid w:val="00337184"/>
    <w:rsid w:val="00390E70"/>
    <w:rsid w:val="003C2F55"/>
    <w:rsid w:val="003D342D"/>
    <w:rsid w:val="004501A9"/>
    <w:rsid w:val="00461199"/>
    <w:rsid w:val="004E0AD2"/>
    <w:rsid w:val="0054153E"/>
    <w:rsid w:val="005B78F9"/>
    <w:rsid w:val="006173D3"/>
    <w:rsid w:val="006A632D"/>
    <w:rsid w:val="006F756E"/>
    <w:rsid w:val="00710362"/>
    <w:rsid w:val="00A74F68"/>
    <w:rsid w:val="00AB0880"/>
    <w:rsid w:val="00B56670"/>
    <w:rsid w:val="00B75710"/>
    <w:rsid w:val="00BA2681"/>
    <w:rsid w:val="00C0744A"/>
    <w:rsid w:val="00C143FB"/>
    <w:rsid w:val="00C43C21"/>
    <w:rsid w:val="00DA0394"/>
    <w:rsid w:val="00DB483C"/>
    <w:rsid w:val="00DD7F45"/>
    <w:rsid w:val="00DE2931"/>
    <w:rsid w:val="00EB05BF"/>
    <w:rsid w:val="00F4340A"/>
    <w:rsid w:val="00FA3CDE"/>
    <w:rsid w:val="00FC7AE1"/>
    <w:rsid w:val="00FE090B"/>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2D"/>
    <w:pPr>
      <w:tabs>
        <w:tab w:val="center" w:pos="4680"/>
        <w:tab w:val="right" w:pos="9360"/>
      </w:tabs>
    </w:pPr>
  </w:style>
  <w:style w:type="character" w:customStyle="1" w:styleId="HeaderChar">
    <w:name w:val="Header Char"/>
    <w:basedOn w:val="DefaultParagraphFont"/>
    <w:link w:val="Header"/>
    <w:uiPriority w:val="99"/>
    <w:rsid w:val="006A632D"/>
    <w:rPr>
      <w:sz w:val="24"/>
      <w:szCs w:val="24"/>
    </w:rPr>
  </w:style>
  <w:style w:type="paragraph" w:styleId="Footer">
    <w:name w:val="footer"/>
    <w:basedOn w:val="Normal"/>
    <w:link w:val="FooterChar"/>
    <w:uiPriority w:val="99"/>
    <w:rsid w:val="006A632D"/>
    <w:pPr>
      <w:tabs>
        <w:tab w:val="center" w:pos="4680"/>
        <w:tab w:val="right" w:pos="9360"/>
      </w:tabs>
    </w:pPr>
  </w:style>
  <w:style w:type="character" w:customStyle="1" w:styleId="FooterChar">
    <w:name w:val="Footer Char"/>
    <w:basedOn w:val="DefaultParagraphFont"/>
    <w:link w:val="Footer"/>
    <w:uiPriority w:val="99"/>
    <w:rsid w:val="006A632D"/>
    <w:rPr>
      <w:sz w:val="24"/>
      <w:szCs w:val="24"/>
    </w:rPr>
  </w:style>
  <w:style w:type="paragraph" w:styleId="BalloonText">
    <w:name w:val="Balloon Text"/>
    <w:basedOn w:val="Normal"/>
    <w:link w:val="BalloonTextChar"/>
    <w:rsid w:val="00192762"/>
    <w:rPr>
      <w:rFonts w:ascii="Tahoma" w:hAnsi="Tahoma" w:cs="Tahoma"/>
      <w:sz w:val="16"/>
      <w:szCs w:val="16"/>
    </w:rPr>
  </w:style>
  <w:style w:type="character" w:customStyle="1" w:styleId="BalloonTextChar">
    <w:name w:val="Balloon Text Char"/>
    <w:basedOn w:val="DefaultParagraphFont"/>
    <w:link w:val="BalloonText"/>
    <w:rsid w:val="00192762"/>
    <w:rPr>
      <w:rFonts w:ascii="Tahoma" w:hAnsi="Tahoma" w:cs="Tahoma"/>
      <w:sz w:val="16"/>
      <w:szCs w:val="16"/>
    </w:rPr>
  </w:style>
  <w:style w:type="paragraph" w:styleId="IntenseQuote">
    <w:name w:val="Intense Quote"/>
    <w:basedOn w:val="Normal"/>
    <w:next w:val="Normal"/>
    <w:link w:val="IntenseQuoteChar"/>
    <w:uiPriority w:val="30"/>
    <w:qFormat/>
    <w:rsid w:val="00192762"/>
    <w:pPr>
      <w:pBdr>
        <w:bottom w:val="single" w:sz="4" w:space="4" w:color="6076B4" w:themeColor="accent1"/>
      </w:pBdr>
      <w:spacing w:before="200" w:after="280" w:line="276" w:lineRule="auto"/>
      <w:ind w:left="936" w:right="936"/>
    </w:pPr>
    <w:rPr>
      <w:rFonts w:asciiTheme="minorHAnsi" w:eastAsiaTheme="minorEastAsia" w:hAnsiTheme="minorHAnsi" w:cstheme="minorBidi"/>
      <w:b/>
      <w:bCs/>
      <w:i/>
      <w:iCs/>
      <w:color w:val="6076B4" w:themeColor="accent1"/>
      <w:sz w:val="22"/>
      <w:szCs w:val="22"/>
      <w:lang w:eastAsia="ja-JP"/>
    </w:rPr>
  </w:style>
  <w:style w:type="character" w:customStyle="1" w:styleId="IntenseQuoteChar">
    <w:name w:val="Intense Quote Char"/>
    <w:basedOn w:val="DefaultParagraphFont"/>
    <w:link w:val="IntenseQuote"/>
    <w:uiPriority w:val="30"/>
    <w:rsid w:val="00192762"/>
    <w:rPr>
      <w:rFonts w:asciiTheme="minorHAnsi" w:eastAsiaTheme="minorEastAsia" w:hAnsiTheme="minorHAnsi" w:cstheme="minorBidi"/>
      <w:b/>
      <w:bCs/>
      <w:i/>
      <w:iCs/>
      <w:color w:val="6076B4" w:themeColor="accent1"/>
      <w:sz w:val="22"/>
      <w:szCs w:val="22"/>
      <w:lang w:eastAsia="ja-JP"/>
    </w:rPr>
  </w:style>
  <w:style w:type="paragraph" w:styleId="Quote">
    <w:name w:val="Quote"/>
    <w:basedOn w:val="Normal"/>
    <w:next w:val="Normal"/>
    <w:link w:val="QuoteChar"/>
    <w:uiPriority w:val="29"/>
    <w:qFormat/>
    <w:rsid w:val="003371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37184"/>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F4340A"/>
    <w:rPr>
      <w:color w:val="3399FF" w:themeColor="hyperlink"/>
      <w:u w:val="single"/>
    </w:rPr>
  </w:style>
  <w:style w:type="paragraph" w:styleId="ListParagraph">
    <w:name w:val="List Paragraph"/>
    <w:basedOn w:val="Normal"/>
    <w:uiPriority w:val="34"/>
    <w:qFormat/>
    <w:rsid w:val="00C43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2D"/>
    <w:pPr>
      <w:tabs>
        <w:tab w:val="center" w:pos="4680"/>
        <w:tab w:val="right" w:pos="9360"/>
      </w:tabs>
    </w:pPr>
  </w:style>
  <w:style w:type="character" w:customStyle="1" w:styleId="HeaderChar">
    <w:name w:val="Header Char"/>
    <w:basedOn w:val="DefaultParagraphFont"/>
    <w:link w:val="Header"/>
    <w:uiPriority w:val="99"/>
    <w:rsid w:val="006A632D"/>
    <w:rPr>
      <w:sz w:val="24"/>
      <w:szCs w:val="24"/>
    </w:rPr>
  </w:style>
  <w:style w:type="paragraph" w:styleId="Footer">
    <w:name w:val="footer"/>
    <w:basedOn w:val="Normal"/>
    <w:link w:val="FooterChar"/>
    <w:uiPriority w:val="99"/>
    <w:rsid w:val="006A632D"/>
    <w:pPr>
      <w:tabs>
        <w:tab w:val="center" w:pos="4680"/>
        <w:tab w:val="right" w:pos="9360"/>
      </w:tabs>
    </w:pPr>
  </w:style>
  <w:style w:type="character" w:customStyle="1" w:styleId="FooterChar">
    <w:name w:val="Footer Char"/>
    <w:basedOn w:val="DefaultParagraphFont"/>
    <w:link w:val="Footer"/>
    <w:uiPriority w:val="99"/>
    <w:rsid w:val="006A632D"/>
    <w:rPr>
      <w:sz w:val="24"/>
      <w:szCs w:val="24"/>
    </w:rPr>
  </w:style>
  <w:style w:type="paragraph" w:styleId="BalloonText">
    <w:name w:val="Balloon Text"/>
    <w:basedOn w:val="Normal"/>
    <w:link w:val="BalloonTextChar"/>
    <w:rsid w:val="00192762"/>
    <w:rPr>
      <w:rFonts w:ascii="Tahoma" w:hAnsi="Tahoma" w:cs="Tahoma"/>
      <w:sz w:val="16"/>
      <w:szCs w:val="16"/>
    </w:rPr>
  </w:style>
  <w:style w:type="character" w:customStyle="1" w:styleId="BalloonTextChar">
    <w:name w:val="Balloon Text Char"/>
    <w:basedOn w:val="DefaultParagraphFont"/>
    <w:link w:val="BalloonText"/>
    <w:rsid w:val="00192762"/>
    <w:rPr>
      <w:rFonts w:ascii="Tahoma" w:hAnsi="Tahoma" w:cs="Tahoma"/>
      <w:sz w:val="16"/>
      <w:szCs w:val="16"/>
    </w:rPr>
  </w:style>
  <w:style w:type="paragraph" w:styleId="IntenseQuote">
    <w:name w:val="Intense Quote"/>
    <w:basedOn w:val="Normal"/>
    <w:next w:val="Normal"/>
    <w:link w:val="IntenseQuoteChar"/>
    <w:uiPriority w:val="30"/>
    <w:qFormat/>
    <w:rsid w:val="00192762"/>
    <w:pPr>
      <w:pBdr>
        <w:bottom w:val="single" w:sz="4" w:space="4" w:color="6076B4" w:themeColor="accent1"/>
      </w:pBdr>
      <w:spacing w:before="200" w:after="280" w:line="276" w:lineRule="auto"/>
      <w:ind w:left="936" w:right="936"/>
    </w:pPr>
    <w:rPr>
      <w:rFonts w:asciiTheme="minorHAnsi" w:eastAsiaTheme="minorEastAsia" w:hAnsiTheme="minorHAnsi" w:cstheme="minorBidi"/>
      <w:b/>
      <w:bCs/>
      <w:i/>
      <w:iCs/>
      <w:color w:val="6076B4" w:themeColor="accent1"/>
      <w:sz w:val="22"/>
      <w:szCs w:val="22"/>
      <w:lang w:eastAsia="ja-JP"/>
    </w:rPr>
  </w:style>
  <w:style w:type="character" w:customStyle="1" w:styleId="IntenseQuoteChar">
    <w:name w:val="Intense Quote Char"/>
    <w:basedOn w:val="DefaultParagraphFont"/>
    <w:link w:val="IntenseQuote"/>
    <w:uiPriority w:val="30"/>
    <w:rsid w:val="00192762"/>
    <w:rPr>
      <w:rFonts w:asciiTheme="minorHAnsi" w:eastAsiaTheme="minorEastAsia" w:hAnsiTheme="minorHAnsi" w:cstheme="minorBidi"/>
      <w:b/>
      <w:bCs/>
      <w:i/>
      <w:iCs/>
      <w:color w:val="6076B4" w:themeColor="accent1"/>
      <w:sz w:val="22"/>
      <w:szCs w:val="22"/>
      <w:lang w:eastAsia="ja-JP"/>
    </w:rPr>
  </w:style>
  <w:style w:type="paragraph" w:styleId="Quote">
    <w:name w:val="Quote"/>
    <w:basedOn w:val="Normal"/>
    <w:next w:val="Normal"/>
    <w:link w:val="QuoteChar"/>
    <w:uiPriority w:val="29"/>
    <w:qFormat/>
    <w:rsid w:val="003371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37184"/>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F4340A"/>
    <w:rPr>
      <w:color w:val="3399FF" w:themeColor="hyperlink"/>
      <w:u w:val="single"/>
    </w:rPr>
  </w:style>
  <w:style w:type="paragraph" w:styleId="ListParagraph">
    <w:name w:val="List Paragraph"/>
    <w:basedOn w:val="Normal"/>
    <w:uiPriority w:val="34"/>
    <w:qFormat/>
    <w:rsid w:val="00C4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427">
      <w:bodyDiv w:val="1"/>
      <w:marLeft w:val="0"/>
      <w:marRight w:val="0"/>
      <w:marTop w:val="0"/>
      <w:marBottom w:val="0"/>
      <w:divBdr>
        <w:top w:val="none" w:sz="0" w:space="0" w:color="auto"/>
        <w:left w:val="none" w:sz="0" w:space="0" w:color="auto"/>
        <w:bottom w:val="none" w:sz="0" w:space="0" w:color="auto"/>
        <w:right w:val="none" w:sz="0" w:space="0" w:color="auto"/>
      </w:divBdr>
    </w:div>
    <w:div w:id="752360227">
      <w:bodyDiv w:val="1"/>
      <w:marLeft w:val="0"/>
      <w:marRight w:val="0"/>
      <w:marTop w:val="0"/>
      <w:marBottom w:val="0"/>
      <w:divBdr>
        <w:top w:val="none" w:sz="0" w:space="0" w:color="auto"/>
        <w:left w:val="none" w:sz="0" w:space="0" w:color="auto"/>
        <w:bottom w:val="none" w:sz="0" w:space="0" w:color="auto"/>
        <w:right w:val="none" w:sz="0" w:space="0" w:color="auto"/>
      </w:divBdr>
    </w:div>
    <w:div w:id="1148597972">
      <w:bodyDiv w:val="1"/>
      <w:marLeft w:val="0"/>
      <w:marRight w:val="0"/>
      <w:marTop w:val="0"/>
      <w:marBottom w:val="0"/>
      <w:divBdr>
        <w:top w:val="none" w:sz="0" w:space="0" w:color="auto"/>
        <w:left w:val="none" w:sz="0" w:space="0" w:color="auto"/>
        <w:bottom w:val="none" w:sz="0" w:space="0" w:color="auto"/>
        <w:right w:val="none" w:sz="0" w:space="0" w:color="auto"/>
      </w:divBdr>
    </w:div>
    <w:div w:id="1240405801">
      <w:bodyDiv w:val="1"/>
      <w:marLeft w:val="0"/>
      <w:marRight w:val="0"/>
      <w:marTop w:val="0"/>
      <w:marBottom w:val="0"/>
      <w:divBdr>
        <w:top w:val="none" w:sz="0" w:space="0" w:color="auto"/>
        <w:left w:val="none" w:sz="0" w:space="0" w:color="auto"/>
        <w:bottom w:val="none" w:sz="0" w:space="0" w:color="auto"/>
        <w:right w:val="none" w:sz="0" w:space="0" w:color="auto"/>
      </w:divBdr>
    </w:div>
    <w:div w:id="12833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SAonline.com" TargetMode="External"/><Relationship Id="rId3" Type="http://schemas.openxmlformats.org/officeDocument/2006/relationships/styles" Target="styles.xml"/><Relationship Id="rId21" Type="http://schemas.openxmlformats.org/officeDocument/2006/relationships/hyperlink" Target="http://www.ConstructionGuidelines.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SAonline.com" TargetMode="External"/><Relationship Id="rId2" Type="http://schemas.openxmlformats.org/officeDocument/2006/relationships/numbering" Target="numbering.xml"/><Relationship Id="rId16" Type="http://schemas.openxmlformats.org/officeDocument/2006/relationships/hyperlink" Target="http://www.ASAonline.com" TargetMode="External"/><Relationship Id="rId20" Type="http://schemas.openxmlformats.org/officeDocument/2006/relationships/hyperlink" Target="http://www.aia.org/contract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onsensusDoc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SAonline.com" TargetMode="External"/><Relationship Id="rId1" Type="http://schemas.openxmlformats.org/officeDocument/2006/relationships/hyperlink" Target="mailto:ASAOffice@ASA-HQ.co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D7F3-4B61-419E-9EBE-5DD0E3AC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Nelson</dc:creator>
  <cp:lastModifiedBy>ASACP</cp:lastModifiedBy>
  <cp:revision>2</cp:revision>
  <cp:lastPrinted>2013-04-26T17:42:00Z</cp:lastPrinted>
  <dcterms:created xsi:type="dcterms:W3CDTF">2014-09-09T15:45:00Z</dcterms:created>
  <dcterms:modified xsi:type="dcterms:W3CDTF">2014-09-09T15:45:00Z</dcterms:modified>
</cp:coreProperties>
</file>